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</w:pPr>
      <w:r>
        <w:rPr>
          <w:rtl/>
        </w:rPr>
        <w:t>Felo Video · DOCX</w:t>
      </w:r>
    </w:p>
    <w:p>
      <w:pPr>
        <w:pStyle w:val="Title"/>
        <w:bidi/>
      </w:pPr>
      <w:r>
        <w:rPr>
          <w:rtl/>
        </w:rPr>
        <w:t>الإجراء الحالي · v2</w:t>
      </w:r>
    </w:p>
    <w:p>
      <w:pPr>
        <w:bidi/>
      </w:pPr>
      <w:r>
        <w:rPr>
          <w:rtl/>
        </w:rPr>
        <w:t>مواد تدريبية افتراضية</w:t>
      </w:r>
    </w:p>
    <w:p>
      <w:pPr>
        <w:bidi/>
      </w:pPr>
      <w:r>
        <w:rPr>
          <w:rtl/>
        </w:rPr>
        <w:t>تُسجل الطلبات في المتابعة المشتركة. يعيّن المنسق مسؤولًا يسجل النتيجة، ثم يؤكد مقدم الطلب الإنجاز.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Noto Sans Arabic" w:hAnsi="Noto Sans Arabic" w:eastAsia="Noto Sans Arabic" w:cs="Noto Sans Arabic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Noto Sans Arabic" w:hAnsi="Noto Sans Arabic" w:eastAsia="Noto Sans Arabic" w:cs="Noto Sans Arabic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الإجراء الحالي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