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Procedimiento vigente · v2</w:t>
      </w:r>
    </w:p>
    <w:p>
      <w:r>
        <w:t>Material ficticio de práctica</w:t>
      </w:r>
    </w:p>
    <w:p>
      <w:r>
        <w:t>Las solicitudes van al registro compartido. Un coordinador asigna responsable. Este registra el resultado y el solicitante confirma el cierre.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vigente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