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</w:pPr>
      <w:r>
        <w:rPr>
          <w:rtl/>
        </w:rPr>
        <w:t>Felo Video · DOCX</w:t>
      </w:r>
    </w:p>
    <w:p>
      <w:pPr>
        <w:pStyle w:val="Title"/>
        <w:bidi/>
      </w:pPr>
      <w:r>
        <w:rPr>
          <w:rtl/>
        </w:rPr>
        <w:t>נוהל תקף · v2</w:t>
      </w:r>
    </w:p>
    <w:p>
      <w:pPr>
        <w:bidi/>
      </w:pPr>
      <w:r>
        <w:rPr>
          <w:rtl/>
        </w:rPr>
        <w:t>חומר תרגול בדיוני</w:t>
      </w:r>
    </w:p>
    <w:p>
      <w:pPr>
        <w:bidi/>
      </w:pPr>
      <w:r>
        <w:rPr>
          <w:rtl/>
        </w:rPr>
        <w:t>בקשות נרשמות במעקב המשותף. מתאם מקצה אחראי, האחראי מתעד את התוצאה ומגיש הבקשה מאשר סיום.</w:t>
      </w:r>
    </w:p>
    <w:sectPr w:rsidR="00FC693F" w:rsidRPr="0006063C" w:rsidSect="00034616">
      <w:pgSz w:w="12240" w:h="15840"/>
      <w:pgMar w:top="1224" w:right="1296" w:bottom="1224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320"/>
    </w:pPr>
    <w:rPr>
      <w:rFonts w:ascii="Noto Sans Hebrew" w:hAnsi="Noto Sans Hebrew" w:eastAsia="Noto Sans Hebrew" w:cs="Noto Sans Hebrew"/>
      <w:color w:val="17211D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20" w:line="240" w:lineRule="auto"/>
      <w:contextualSpacing/>
    </w:pPr>
    <w:rPr>
      <w:rFonts w:ascii="Noto Sans Hebrew" w:hAnsi="Noto Sans Hebrew" w:eastAsia="Noto Sans Hebrew" w:cs="Noto Sans Hebrew"/>
      <w:color w:val="17211D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נוהל תקף · v2</dc:title>
  <dc:subject/>
  <dc:creator>Felo Video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