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Procedura attuale · v2</w:t>
      </w:r>
    </w:p>
    <w:p>
      <w:r>
        <w:t>Materiale fittizio per esercitarsi</w:t>
      </w:r>
    </w:p>
    <w:p>
      <w:r>
        <w:t>Le richieste entrano nel registro condiviso. Un coordinatore assegna il responsabile, che registra l’esito. Il richiedente conferma la chiusura.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attuale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