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Действующая процедура · v2</w:t>
      </w:r>
    </w:p>
    <w:p>
      <w:r>
        <w:t>Вымышленные учебные материалы</w:t>
      </w:r>
    </w:p>
    <w:p>
      <w:r>
        <w:t>Заявки регистрируются в общем трекере. Координатор назначает ответственного. Тот фиксирует результат, а заявитель подтверждает выполнение.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" w:hAnsi="Arial" w:eastAsia="Arial" w:cs="Arial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" w:hAnsi="Arial" w:eastAsia="Arial" w:cs="Arial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Действующая процедура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