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Quy trình hiện hành · v2</w:t>
      </w:r>
    </w:p>
    <w:p>
      <w:r>
        <w:t>Tài liệu giả định để thực hành</w:t>
      </w:r>
    </w:p>
    <w:p>
      <w:r>
        <w:t>Yêu cầu được ghi vào bảng chung. Điều phối viên giao người phụ trách. Người phụ trách ghi kết quả, người gửi xác nhận hoàn tất.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Quy trình hiện hành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